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A0" w:rsidRPr="003D2AB3" w:rsidRDefault="00EA27A0" w:rsidP="003D2AB3">
      <w:pPr>
        <w:pStyle w:val="a3"/>
        <w:shd w:val="clear" w:color="auto" w:fill="FEFFFC"/>
        <w:ind w:left="-284" w:right="4" w:firstLine="480"/>
        <w:jc w:val="both"/>
        <w:rPr>
          <w:rFonts w:ascii="Times New Roman" w:hAnsi="Times New Roman" w:cs="Times New Roman"/>
          <w:color w:val="232325"/>
          <w:sz w:val="23"/>
          <w:szCs w:val="23"/>
        </w:rPr>
      </w:pPr>
      <w:r w:rsidRPr="003D2AB3">
        <w:rPr>
          <w:rFonts w:ascii="Times New Roman" w:hAnsi="Times New Roman" w:cs="Times New Roman"/>
          <w:color w:val="070709"/>
          <w:sz w:val="23"/>
          <w:szCs w:val="23"/>
        </w:rPr>
        <w:t>В соответствии со ст. 1</w:t>
      </w:r>
      <w:r w:rsidR="007D3608" w:rsidRPr="003D2AB3">
        <w:rPr>
          <w:rFonts w:ascii="Times New Roman" w:hAnsi="Times New Roman" w:cs="Times New Roman"/>
          <w:color w:val="070709"/>
          <w:sz w:val="23"/>
          <w:szCs w:val="23"/>
        </w:rPr>
        <w:t>1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 ФЗ от 23.11.2009 № 261</w:t>
      </w:r>
      <w:r w:rsidR="003D2AB3"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 – ФЗ 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 « Об энергосбережении и о повышении энергетической эффективности и о внесении изменений в отде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ьные законо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ательные акты Российской Федерации»,  установлен перечень объектов, обязанных пройти 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э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нергетическое обсле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ование (</w:t>
      </w:r>
      <w:proofErr w:type="spellStart"/>
      <w:r w:rsidRPr="003D2AB3">
        <w:rPr>
          <w:rFonts w:ascii="Times New Roman" w:hAnsi="Times New Roman" w:cs="Times New Roman"/>
          <w:color w:val="070709"/>
          <w:sz w:val="23"/>
          <w:szCs w:val="23"/>
        </w:rPr>
        <w:t>энергоаудит</w:t>
      </w:r>
      <w:proofErr w:type="spellEnd"/>
      <w:r w:rsidRPr="003D2AB3">
        <w:rPr>
          <w:rFonts w:ascii="Times New Roman" w:hAnsi="Times New Roman" w:cs="Times New Roman"/>
          <w:color w:val="070709"/>
          <w:sz w:val="23"/>
          <w:szCs w:val="23"/>
        </w:rPr>
        <w:t>)</w:t>
      </w:r>
      <w:r w:rsidR="007D3608" w:rsidRPr="003D2AB3">
        <w:rPr>
          <w:rFonts w:ascii="Times New Roman" w:hAnsi="Times New Roman" w:cs="Times New Roman"/>
          <w:color w:val="232325"/>
          <w:sz w:val="23"/>
          <w:szCs w:val="23"/>
        </w:rPr>
        <w:t>: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П. 1. Здания, строения, сооружения, за исключением указанных в </w:t>
      </w:r>
      <w:hyperlink r:id="rId4" w:anchor="dst100113" w:history="1">
        <w:r w:rsidRPr="003D2AB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 5</w:t>
        </w:r>
      </w:hyperlink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настоящей статьи зданий, строений, сооружений, должны соответствовать </w:t>
      </w:r>
      <w:hyperlink r:id="rId5" w:anchor="dst100011" w:history="1">
        <w:r w:rsidRPr="003D2AB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требованиям</w:t>
        </w:r>
      </w:hyperlink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 энергетической эффективности, установленным уполномоченным федеральным органом исполнительной власти в соответствии с </w:t>
      </w:r>
      <w:hyperlink r:id="rId6" w:anchor="dst100014" w:history="1">
        <w:r w:rsidRPr="003D2AB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правилами</w:t>
        </w:r>
      </w:hyperlink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утвержденными Правительством Российской Федерации. Правительство Российской Федерации вправе установить в указанных правилах первоочередные </w:t>
      </w:r>
      <w:hyperlink r:id="rId7" w:anchor="dst5" w:history="1">
        <w:r w:rsidRPr="003D2AB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требования</w:t>
        </w:r>
      </w:hyperlink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 энергетической эффективности.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dst100107"/>
      <w:bookmarkEnd w:id="0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П. 2. Требования энергетической эффективности зданий, строений, сооружений должны включать в себя: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dst100108"/>
      <w:bookmarkEnd w:id="1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1) </w:t>
      </w:r>
      <w:hyperlink r:id="rId8" w:anchor="dst100031" w:history="1">
        <w:r w:rsidRPr="003D2AB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показатели</w:t>
        </w:r>
      </w:hyperlink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, характеризующие удельную величину расхода энергетических ресурсов в здании, строении, сооружении;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" w:name="dst100109"/>
      <w:bookmarkEnd w:id="2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dst100110"/>
      <w:bookmarkEnd w:id="3"/>
      <w:proofErr w:type="gramStart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3) </w:t>
      </w:r>
      <w:hyperlink r:id="rId9" w:anchor="dst100011" w:history="1">
        <w:r w:rsidRPr="003D2AB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требования</w:t>
        </w:r>
      </w:hyperlink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</w:t>
      </w:r>
      <w:proofErr w:type="gramEnd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процессе их эксплуатации.</w:t>
      </w:r>
    </w:p>
    <w:p w:rsidR="007D3608" w:rsidRPr="003D2AB3" w:rsidRDefault="007D3608" w:rsidP="003D2AB3">
      <w:pPr>
        <w:pStyle w:val="a3"/>
        <w:shd w:val="clear" w:color="auto" w:fill="FEFFFC"/>
        <w:ind w:left="-284" w:right="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D2AB3">
        <w:rPr>
          <w:rFonts w:ascii="Times New Roman" w:hAnsi="Times New Roman" w:cs="Times New Roman"/>
          <w:sz w:val="23"/>
          <w:szCs w:val="23"/>
          <w:shd w:val="clear" w:color="auto" w:fill="FFFFFF"/>
        </w:rPr>
        <w:t>П. 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7D3608" w:rsidRPr="003D2AB3" w:rsidRDefault="007D3608" w:rsidP="003D2AB3">
      <w:pPr>
        <w:pStyle w:val="a3"/>
        <w:shd w:val="clear" w:color="auto" w:fill="FEFFFC"/>
        <w:ind w:left="-284" w:right="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D2AB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П. 9. </w:t>
      </w:r>
      <w:proofErr w:type="gramStart"/>
      <w:r w:rsidRPr="003D2AB3">
        <w:rPr>
          <w:rFonts w:ascii="Times New Roman" w:hAnsi="Times New Roman" w:cs="Times New Roman"/>
          <w:sz w:val="23"/>
          <w:szCs w:val="23"/>
          <w:shd w:val="clear" w:color="auto" w:fill="FFFFFF"/>
        </w:rPr>
        <w:t>Собственники помещений в многоквартирных домах обязаны обеспечивать соответствие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  <w:proofErr w:type="gramEnd"/>
    </w:p>
    <w:p w:rsidR="003D2AB3" w:rsidRDefault="003D2AB3" w:rsidP="003D2AB3">
      <w:pPr>
        <w:shd w:val="clear" w:color="auto" w:fill="FFFFFF"/>
        <w:spacing w:after="0" w:line="240" w:lineRule="auto"/>
        <w:ind w:left="-284"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</w:p>
    <w:p w:rsidR="007D3608" w:rsidRPr="007D3608" w:rsidRDefault="003D2AB3" w:rsidP="003D2AB3">
      <w:pPr>
        <w:shd w:val="clear" w:color="auto" w:fill="FFFFFF"/>
        <w:spacing w:after="0" w:line="240" w:lineRule="auto"/>
        <w:ind w:left="-284"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proofErr w:type="gramStart"/>
      <w:r w:rsidRPr="003D2AB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Согласно </w:t>
      </w:r>
      <w:r w:rsidR="007D3608" w:rsidRPr="003D2AB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Стать</w:t>
      </w:r>
      <w:r w:rsidRPr="003D2AB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и</w:t>
      </w:r>
      <w:proofErr w:type="gramEnd"/>
      <w:r w:rsidR="007D3608" w:rsidRPr="003D2AB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15</w:t>
      </w:r>
      <w:r w:rsidRPr="003D2AB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</w:t>
      </w:r>
      <w:r w:rsidRPr="003D2AB3">
        <w:rPr>
          <w:rFonts w:ascii="Times New Roman" w:hAnsi="Times New Roman" w:cs="Times New Roman"/>
          <w:sz w:val="23"/>
          <w:szCs w:val="23"/>
        </w:rPr>
        <w:t xml:space="preserve">ФЗ от 23.11.2009 № 261 – ФЗ   </w:t>
      </w:r>
    </w:p>
    <w:p w:rsidR="007D3608" w:rsidRPr="007D3608" w:rsidRDefault="003D2AB3" w:rsidP="003D2AB3">
      <w:pPr>
        <w:shd w:val="clear" w:color="auto" w:fill="FFFFFF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" w:name="dst44"/>
      <w:bookmarkEnd w:id="4"/>
      <w:r w:rsidRPr="003D2AB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П. </w:t>
      </w:r>
      <w:r w:rsidR="007D3608"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="007D3608"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Энергетическое обследование может проводиться в отношении зданий, строений, сооружений, </w:t>
      </w:r>
      <w:proofErr w:type="spellStart"/>
      <w:r w:rsidR="007D3608"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энергопотребляющего</w:t>
      </w:r>
      <w:proofErr w:type="spellEnd"/>
      <w:r w:rsidR="007D3608"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  <w:proofErr w:type="gramEnd"/>
    </w:p>
    <w:p w:rsidR="007D3608" w:rsidRPr="007D3608" w:rsidRDefault="003D2AB3" w:rsidP="003D2A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" w:name="dst100188"/>
      <w:bookmarkEnd w:id="5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</w:t>
      </w:r>
      <w:r w:rsidR="007D3608"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2. Основными целями энергетического обследования являются: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" w:name="dst100189"/>
      <w:bookmarkEnd w:id="6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получение объективных данных об объеме используемых энергетических ресурсов;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" w:name="dst100190"/>
      <w:bookmarkEnd w:id="7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2) определение показателей энергетической эффективности;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8" w:name="dst100191"/>
      <w:bookmarkEnd w:id="8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3) определение потенциала энергосбережения и повышения энергетической эффективности;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9" w:name="dst45"/>
      <w:bookmarkEnd w:id="9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7D3608" w:rsidRPr="007D3608" w:rsidRDefault="003D2AB3" w:rsidP="003D2A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</w:t>
      </w:r>
      <w:r w:rsidR="007D3608"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7. Энергетический паспорт, составленный по результатам энергетического обследования, должен содержать информацию: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0" w:name="dst100198"/>
      <w:bookmarkEnd w:id="10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1) об оснащенности приборами учета используемых энергетических ресурсов;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1" w:name="dst100199"/>
      <w:bookmarkEnd w:id="11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2) об объеме используемых энергетических ресурсов и о его изменении;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2" w:name="dst100200"/>
      <w:bookmarkEnd w:id="12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3) о показателях энергетической эффективности;</w:t>
      </w:r>
    </w:p>
    <w:p w:rsidR="007D3608" w:rsidRP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3" w:name="dst100201"/>
      <w:bookmarkEnd w:id="13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4)о величине потерь переданных энергетических ресурсов (для организаций, осуществляющих передачу энергетических ресурсов);</w:t>
      </w:r>
    </w:p>
    <w:p w:rsidR="007D3608" w:rsidRPr="007D3608" w:rsidRDefault="007D3608" w:rsidP="003D2AB3">
      <w:pPr>
        <w:shd w:val="clear" w:color="auto" w:fill="FFFFFF"/>
        <w:tabs>
          <w:tab w:val="left" w:pos="851"/>
        </w:tabs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4" w:name="dst100202"/>
      <w:bookmarkEnd w:id="14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5)о потенциале энергосбережения, в том числе об оценке возможной экономии энергетических ресурсов в натуральном выражении;</w:t>
      </w:r>
    </w:p>
    <w:p w:rsidR="007D3608" w:rsidRDefault="007D3608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5" w:name="dst49"/>
      <w:bookmarkEnd w:id="15"/>
      <w:r w:rsidRPr="003D2AB3">
        <w:rPr>
          <w:rFonts w:ascii="Times New Roman" w:eastAsia="Times New Roman" w:hAnsi="Times New Roman" w:cs="Times New Roman"/>
          <w:sz w:val="23"/>
          <w:szCs w:val="23"/>
          <w:lang w:eastAsia="ru-RU"/>
        </w:rPr>
        <w:t>6) о перечне мероприятий по энергосбережению и повышению энергетической эффективности и их стоимостной оценке.</w:t>
      </w:r>
    </w:p>
    <w:p w:rsidR="003D2AB3" w:rsidRPr="007D3608" w:rsidRDefault="003D2AB3" w:rsidP="003D2AB3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D3608" w:rsidRPr="003D2AB3" w:rsidRDefault="00EA27A0" w:rsidP="00FE77F5">
      <w:pPr>
        <w:pStyle w:val="a3"/>
        <w:shd w:val="clear" w:color="auto" w:fill="FEFFFC"/>
        <w:ind w:left="-284" w:firstLine="484"/>
        <w:jc w:val="both"/>
        <w:rPr>
          <w:rFonts w:eastAsia="Times New Roman"/>
          <w:b/>
          <w:bCs/>
          <w:color w:val="333333"/>
          <w:kern w:val="36"/>
          <w:sz w:val="23"/>
          <w:szCs w:val="23"/>
        </w:rPr>
      </w:pPr>
      <w:r w:rsidRPr="003D2AB3">
        <w:rPr>
          <w:rFonts w:ascii="Times New Roman" w:hAnsi="Times New Roman" w:cs="Times New Roman"/>
          <w:color w:val="070709"/>
          <w:w w:val="105"/>
          <w:sz w:val="23"/>
          <w:szCs w:val="23"/>
        </w:rPr>
        <w:t xml:space="preserve">С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це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ью исполнен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и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я на 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т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ерритории Во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гоградской обла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с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ти требований </w:t>
      </w:r>
      <w:r w:rsidRPr="003D2AB3">
        <w:rPr>
          <w:rFonts w:ascii="Times New Roman" w:hAnsi="Times New Roman" w:cs="Times New Roman"/>
          <w:color w:val="3D3F40"/>
          <w:sz w:val="23"/>
          <w:szCs w:val="23"/>
        </w:rPr>
        <w:t>з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а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коно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ательства о проведении обя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з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ательных 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э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нерге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т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ических обс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едований и пр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ед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оставления данных све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ений в Министерство энерге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т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ики РФ, пре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лагаем В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а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м провес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т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и общее 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с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обрание собс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т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венников жи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ья</w:t>
      </w:r>
      <w:r w:rsidRPr="003D2AB3">
        <w:rPr>
          <w:rFonts w:ascii="Times New Roman" w:hAnsi="Times New Roman" w:cs="Times New Roman"/>
          <w:color w:val="3D3F40"/>
          <w:sz w:val="23"/>
          <w:szCs w:val="23"/>
        </w:rPr>
        <w:t xml:space="preserve">,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г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е бу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ут опре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елены п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од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р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яд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чик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 xml:space="preserve">,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предост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а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в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яющ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и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й ус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уг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 xml:space="preserve">у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по прове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де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нию </w:t>
      </w:r>
      <w:proofErr w:type="spellStart"/>
      <w:r w:rsidRPr="003D2AB3">
        <w:rPr>
          <w:rFonts w:ascii="Times New Roman" w:hAnsi="Times New Roman" w:cs="Times New Roman"/>
          <w:color w:val="232325"/>
          <w:sz w:val="23"/>
          <w:szCs w:val="23"/>
        </w:rPr>
        <w:t>э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нер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г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оау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и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т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а</w:t>
      </w:r>
      <w:proofErr w:type="spellEnd"/>
      <w:r w:rsidRPr="003D2AB3">
        <w:rPr>
          <w:rFonts w:ascii="Times New Roman" w:hAnsi="Times New Roman" w:cs="Times New Roman"/>
          <w:color w:val="232325"/>
          <w:sz w:val="23"/>
          <w:szCs w:val="23"/>
        </w:rPr>
        <w:t>,</w:t>
      </w:r>
      <w:r w:rsidR="003D2AB3">
        <w:rPr>
          <w:rFonts w:ascii="Times New Roman" w:hAnsi="Times New Roman" w:cs="Times New Roman"/>
          <w:color w:val="232325"/>
          <w:sz w:val="23"/>
          <w:szCs w:val="23"/>
        </w:rPr>
        <w:t xml:space="preserve">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форм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 xml:space="preserve">а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и п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оря</w:t>
      </w:r>
      <w:r w:rsidRPr="003D2AB3">
        <w:rPr>
          <w:rFonts w:ascii="Times New Roman" w:hAnsi="Times New Roman" w:cs="Times New Roman"/>
          <w:color w:val="3D3F40"/>
          <w:sz w:val="23"/>
          <w:szCs w:val="23"/>
        </w:rPr>
        <w:t>д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 xml:space="preserve">ок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о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пл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аты 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з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 xml:space="preserve">а 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у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к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аза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нны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й в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и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 xml:space="preserve">д 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ус</w:t>
      </w:r>
      <w:r w:rsidRPr="003D2AB3">
        <w:rPr>
          <w:rFonts w:ascii="Times New Roman" w:hAnsi="Times New Roman" w:cs="Times New Roman"/>
          <w:color w:val="232325"/>
          <w:sz w:val="23"/>
          <w:szCs w:val="23"/>
        </w:rPr>
        <w:t>л</w:t>
      </w:r>
      <w:r w:rsidRPr="003D2AB3">
        <w:rPr>
          <w:rFonts w:ascii="Times New Roman" w:hAnsi="Times New Roman" w:cs="Times New Roman"/>
          <w:color w:val="070709"/>
          <w:sz w:val="23"/>
          <w:szCs w:val="23"/>
        </w:rPr>
        <w:t>уг.</w:t>
      </w:r>
    </w:p>
    <w:sectPr w:rsidR="007D3608" w:rsidRPr="003D2AB3" w:rsidSect="00A2644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7A0"/>
    <w:rsid w:val="00072BAF"/>
    <w:rsid w:val="000D347A"/>
    <w:rsid w:val="002A7719"/>
    <w:rsid w:val="003D2AB3"/>
    <w:rsid w:val="007D3608"/>
    <w:rsid w:val="00A26448"/>
    <w:rsid w:val="00EA27A0"/>
    <w:rsid w:val="00EA4700"/>
    <w:rsid w:val="00ED6472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F"/>
  </w:style>
  <w:style w:type="paragraph" w:styleId="1">
    <w:name w:val="heading 1"/>
    <w:basedOn w:val="a"/>
    <w:link w:val="10"/>
    <w:uiPriority w:val="9"/>
    <w:qFormat/>
    <w:rsid w:val="007D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A2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D3608"/>
  </w:style>
  <w:style w:type="character" w:styleId="a4">
    <w:name w:val="Hyperlink"/>
    <w:basedOn w:val="a0"/>
    <w:uiPriority w:val="99"/>
    <w:semiHidden/>
    <w:unhideWhenUsed/>
    <w:rsid w:val="007D3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D3608"/>
  </w:style>
  <w:style w:type="character" w:customStyle="1" w:styleId="nobr">
    <w:name w:val="nobr"/>
    <w:basedOn w:val="a0"/>
    <w:rsid w:val="007D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4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94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94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9413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30075/4d65f8f0b5a5e943b470b72f05f5e6f9c2cb3b88/" TargetMode="External"/><Relationship Id="rId9" Type="http://schemas.openxmlformats.org/officeDocument/2006/relationships/hyperlink" Target="http://www.consultant.ru/document/cons_doc_LAW_201591/8e05c82dc7442417550d4d3b5a816ab20952ab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2020-02-17T11:15:00Z</cp:lastPrinted>
  <dcterms:created xsi:type="dcterms:W3CDTF">2019-11-19T12:40:00Z</dcterms:created>
  <dcterms:modified xsi:type="dcterms:W3CDTF">2020-02-18T04:28:00Z</dcterms:modified>
</cp:coreProperties>
</file>